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6</w:t>
      </w:r>
      <w:r w:rsidR="000B5442"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3B2981">
        <w:rPr>
          <w:b/>
          <w:bCs/>
          <w:i/>
          <w:iCs/>
          <w:sz w:val="16"/>
          <w:szCs w:val="16"/>
          <w:shd w:val="clear" w:color="auto" w:fill="FFFFFF"/>
        </w:rPr>
        <w:t>czerwca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3B2981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22.05.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974C7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974C7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974C7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56 575 258,55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974C7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56 745 561,53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30 635 357,58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70750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F0629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30 805 660,56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3 998 296,58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974C78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170 302,98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4 168 599,56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10 091 659,00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F0629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F0629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</w:t>
            </w:r>
            <w:r w:rsidR="00877C04" w:rsidRPr="00F36C3F">
              <w:rPr>
                <w:i/>
                <w:iCs/>
                <w:sz w:val="14"/>
                <w:szCs w:val="14"/>
              </w:rPr>
              <w:t> </w:t>
            </w:r>
            <w:r>
              <w:rPr>
                <w:i/>
                <w:iCs/>
                <w:sz w:val="14"/>
                <w:szCs w:val="14"/>
              </w:rPr>
              <w:t>0</w:t>
            </w:r>
            <w:r w:rsidR="00877C04" w:rsidRPr="00F36C3F">
              <w:rPr>
                <w:i/>
                <w:iCs/>
                <w:sz w:val="14"/>
                <w:szCs w:val="14"/>
              </w:rPr>
              <w:t>91 659,00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25 939 900,97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25 </w:t>
            </w:r>
            <w:r w:rsidR="00873D1A">
              <w:rPr>
                <w:b/>
                <w:bCs/>
                <w:sz w:val="14"/>
                <w:szCs w:val="14"/>
              </w:rPr>
              <w:t>939 900,97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25 369 900,97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974C78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25 </w:t>
            </w:r>
            <w:r w:rsidR="00873D1A">
              <w:rPr>
                <w:i/>
                <w:iCs/>
                <w:sz w:val="14"/>
                <w:szCs w:val="14"/>
              </w:rPr>
              <w:t>369 900,9</w:t>
            </w:r>
            <w:r w:rsidRPr="00F36C3F">
              <w:rPr>
                <w:i/>
                <w:iCs/>
                <w:sz w:val="14"/>
                <w:szCs w:val="14"/>
              </w:rPr>
              <w:t>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F36C3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 xml:space="preserve">zwiększono dochody w rozdziale 75807 § 2920 o kwotę 1.252.999,00 zł (cześć wyrównawcza subwencji ogólnej – kwota uzupełniająca). 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5A24AD">
      <w:pPr>
        <w:pStyle w:val="Tekstdymka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170.302,98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974C78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236517" w:rsidRDefault="00E156E0" w:rsidP="00E156E0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rodzinne.</w:t>
      </w:r>
    </w:p>
    <w:p w:rsidR="00E156E0" w:rsidRPr="00974C78" w:rsidRDefault="00E156E0" w:rsidP="00E156E0">
      <w:pPr>
        <w:pStyle w:val="Akapitzlist"/>
        <w:ind w:left="810"/>
        <w:jc w:val="both"/>
        <w:rPr>
          <w:sz w:val="18"/>
          <w:szCs w:val="18"/>
        </w:rPr>
      </w:pP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E13A8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lastRenderedPageBreak/>
        <w:t>II.2.2 Dochody majątkowe w okresie od 4 kwietnia 2024 roku do 22 maja 2024 roku zwiększono o kwotę 278.246,00 zł, w tym:</w:t>
      </w:r>
    </w:p>
    <w:p w:rsidR="005A24AD" w:rsidRPr="005A24AD" w:rsidRDefault="005A24AD" w:rsidP="005A24A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Pr="005A24AD" w:rsidRDefault="005A24AD" w:rsidP="005A24A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246,00 zł. </w:t>
      </w: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E156E0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22.05.2024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E156E0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26.06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</w:t>
            </w:r>
            <w:r w:rsidR="00E156E0">
              <w:rPr>
                <w:b/>
                <w:bCs/>
                <w:sz w:val="14"/>
                <w:szCs w:val="14"/>
              </w:rPr>
              <w:t> 758 045,22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170 302,98</w:t>
            </w:r>
          </w:p>
        </w:tc>
        <w:tc>
          <w:tcPr>
            <w:tcW w:w="84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59 928 348,20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E156E0">
              <w:rPr>
                <w:b/>
                <w:bCs/>
                <w:sz w:val="14"/>
                <w:szCs w:val="14"/>
              </w:rPr>
              <w:t> 744 574,25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155 302,98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E156E0">
              <w:rPr>
                <w:b/>
                <w:bCs/>
                <w:sz w:val="14"/>
                <w:szCs w:val="14"/>
              </w:rPr>
              <w:t> 899 877,23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E156E0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30 013 470,97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15 000,00</w:t>
            </w:r>
          </w:p>
        </w:tc>
        <w:tc>
          <w:tcPr>
            <w:tcW w:w="840" w:type="pct"/>
            <w:vAlign w:val="center"/>
          </w:tcPr>
          <w:p w:rsidR="00154D2F" w:rsidRPr="00F36C3F" w:rsidRDefault="00E156E0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30 028 470,97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lastRenderedPageBreak/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rozdział 85395 zwiększono o kwotę 76,92 zł -  </w:t>
      </w:r>
      <w:proofErr w:type="spellStart"/>
      <w:r w:rsidRPr="000D6E4F">
        <w:rPr>
          <w:rFonts w:ascii="Times New Roman" w:hAnsi="Times New Roman"/>
          <w:sz w:val="18"/>
          <w:szCs w:val="18"/>
        </w:rPr>
        <w:t>rozl.fundusz</w:t>
      </w:r>
      <w:proofErr w:type="spellEnd"/>
      <w:r w:rsidRPr="000D6E4F">
        <w:rPr>
          <w:rFonts w:ascii="Times New Roman" w:hAnsi="Times New Roman"/>
          <w:sz w:val="18"/>
          <w:szCs w:val="18"/>
        </w:rPr>
        <w:t xml:space="preserve"> COVID-19;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5A24AD">
      <w:pPr>
        <w:pStyle w:val="Tekstdymka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5751FE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Pr="005751FE" w:rsidRDefault="005751FE" w:rsidP="005751FE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lastRenderedPageBreak/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 xml:space="preserve">155.302,98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5A317C">
      <w:pPr>
        <w:pStyle w:val="Akapitzlist"/>
        <w:numPr>
          <w:ilvl w:val="0"/>
          <w:numId w:val="46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Pr="005A317C" w:rsidRDefault="005A317C" w:rsidP="005A317C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>
        <w:rPr>
          <w:rFonts w:ascii="Times New Roman" w:hAnsi="Times New Roman"/>
          <w:sz w:val="18"/>
          <w:szCs w:val="18"/>
        </w:rPr>
        <w:t>;</w:t>
      </w:r>
      <w:r w:rsidRPr="005A317C">
        <w:rPr>
          <w:rFonts w:ascii="Times New Roman" w:hAnsi="Times New Roman"/>
          <w:sz w:val="18"/>
          <w:szCs w:val="18"/>
        </w:rPr>
        <w:t xml:space="preserve"> </w:t>
      </w:r>
    </w:p>
    <w:p w:rsidR="005A317C" w:rsidRDefault="005A317C" w:rsidP="006663DC">
      <w:pPr>
        <w:jc w:val="both"/>
        <w:rPr>
          <w:i/>
          <w:sz w:val="20"/>
          <w:szCs w:val="20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1C42A0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A4542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5751FE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5751FE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lastRenderedPageBreak/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65560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7F39BB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7F39BB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22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05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7F39BB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7F39BB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.0</w:t>
            </w:r>
            <w:r w:rsidR="007F39BB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6663DC">
      <w:pPr>
        <w:numPr>
          <w:ilvl w:val="0"/>
          <w:numId w:val="23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0D6E4F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0D6E4F">
      <w:pPr>
        <w:pStyle w:val="Akapitzlist"/>
        <w:numPr>
          <w:ilvl w:val="0"/>
          <w:numId w:val="23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F06293">
      <w:pPr>
        <w:numPr>
          <w:ilvl w:val="0"/>
          <w:numId w:val="42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F06293">
      <w:pPr>
        <w:pStyle w:val="Akapitzlist"/>
        <w:numPr>
          <w:ilvl w:val="0"/>
          <w:numId w:val="4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200716" w:rsidRDefault="00200716" w:rsidP="009D4EB7">
      <w:pPr>
        <w:jc w:val="both"/>
        <w:rPr>
          <w:i/>
          <w:sz w:val="22"/>
          <w:szCs w:val="22"/>
        </w:rPr>
      </w:pPr>
    </w:p>
    <w:p w:rsidR="00200716" w:rsidRPr="00F36C3F" w:rsidRDefault="00200716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9D4EB7">
      <w:pPr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</w:t>
      </w:r>
      <w:r w:rsidR="00426CF3" w:rsidRPr="00F36C3F">
        <w:rPr>
          <w:rFonts w:ascii="Times New Roman" w:hAnsi="Times New Roman"/>
          <w:i/>
          <w:sz w:val="20"/>
          <w:szCs w:val="20"/>
        </w:rPr>
        <w:lastRenderedPageBreak/>
        <w:t xml:space="preserve">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1F4D8B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</w:tbl>
    <w:p w:rsidR="00925F9A" w:rsidRPr="00F36C3F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522375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</w:t>
      </w:r>
      <w:bookmarkStart w:id="0" w:name="_GoBack"/>
      <w:bookmarkEnd w:id="0"/>
      <w:r w:rsidR="00EA11B0">
        <w:rPr>
          <w:rFonts w:ascii="Times New Roman" w:hAnsi="Times New Roman"/>
          <w:sz w:val="20"/>
          <w:szCs w:val="20"/>
        </w:rPr>
        <w:t>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sectPr w:rsidR="009D4EB7" w:rsidRPr="0052237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74C" w:rsidRDefault="00DB774C">
      <w:r>
        <w:separator/>
      </w:r>
    </w:p>
  </w:endnote>
  <w:endnote w:type="continuationSeparator" w:id="0">
    <w:p w:rsidR="00DB774C" w:rsidRDefault="00DB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9BB" w:rsidRDefault="007F39B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11B0">
      <w:rPr>
        <w:noProof/>
      </w:rPr>
      <w:t>9</w:t>
    </w:r>
    <w:r>
      <w:fldChar w:fldCharType="end"/>
    </w:r>
  </w:p>
  <w:p w:rsidR="007F39BB" w:rsidRDefault="007F39BB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74C" w:rsidRDefault="00DB774C">
      <w:r>
        <w:separator/>
      </w:r>
    </w:p>
  </w:footnote>
  <w:footnote w:type="continuationSeparator" w:id="0">
    <w:p w:rsidR="00DB774C" w:rsidRDefault="00DB7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032FB"/>
    <w:multiLevelType w:val="hybridMultilevel"/>
    <w:tmpl w:val="C9CE6424"/>
    <w:lvl w:ilvl="0" w:tplc="731ED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6F8A"/>
    <w:multiLevelType w:val="hybridMultilevel"/>
    <w:tmpl w:val="D2CA4D60"/>
    <w:lvl w:ilvl="0" w:tplc="2506D3D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C972BE4"/>
    <w:multiLevelType w:val="hybridMultilevel"/>
    <w:tmpl w:val="5CA2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25BC6"/>
    <w:multiLevelType w:val="hybridMultilevel"/>
    <w:tmpl w:val="DB806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546CD"/>
    <w:multiLevelType w:val="hybridMultilevel"/>
    <w:tmpl w:val="A94E8FDC"/>
    <w:lvl w:ilvl="0" w:tplc="DB4C8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E03F2A"/>
    <w:multiLevelType w:val="hybridMultilevel"/>
    <w:tmpl w:val="D4C0486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5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BB4D03"/>
    <w:multiLevelType w:val="hybridMultilevel"/>
    <w:tmpl w:val="2EC6B01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07A96"/>
    <w:multiLevelType w:val="hybridMultilevel"/>
    <w:tmpl w:val="DB98DC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40B6D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2743D"/>
    <w:multiLevelType w:val="hybridMultilevel"/>
    <w:tmpl w:val="E6D6423A"/>
    <w:lvl w:ilvl="0" w:tplc="5792E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C72B54"/>
    <w:multiLevelType w:val="hybridMultilevel"/>
    <w:tmpl w:val="18EC5CEA"/>
    <w:lvl w:ilvl="0" w:tplc="EB329B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8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0A62692"/>
    <w:multiLevelType w:val="hybridMultilevel"/>
    <w:tmpl w:val="29C60AD2"/>
    <w:lvl w:ilvl="0" w:tplc="74E618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E4A2E"/>
    <w:multiLevelType w:val="hybridMultilevel"/>
    <w:tmpl w:val="04767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4" w15:restartNumberingAfterBreak="0">
    <w:nsid w:val="581901A2"/>
    <w:multiLevelType w:val="hybridMultilevel"/>
    <w:tmpl w:val="333E4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22F27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254404"/>
    <w:multiLevelType w:val="hybridMultilevel"/>
    <w:tmpl w:val="1534EB9A"/>
    <w:lvl w:ilvl="0" w:tplc="75B66A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4641D"/>
    <w:multiLevelType w:val="hybridMultilevel"/>
    <w:tmpl w:val="44D4E1FA"/>
    <w:lvl w:ilvl="0" w:tplc="D69800A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44" w15:restartNumberingAfterBreak="0">
    <w:nsid w:val="7A7B0824"/>
    <w:multiLevelType w:val="hybridMultilevel"/>
    <w:tmpl w:val="ACF482E2"/>
    <w:lvl w:ilvl="0" w:tplc="7FEE729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022F3"/>
    <w:multiLevelType w:val="hybridMultilevel"/>
    <w:tmpl w:val="3D88D6B2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F0525EF"/>
    <w:multiLevelType w:val="hybridMultilevel"/>
    <w:tmpl w:val="E1C2566C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43"/>
  </w:num>
  <w:num w:numId="4">
    <w:abstractNumId w:val="15"/>
  </w:num>
  <w:num w:numId="5">
    <w:abstractNumId w:val="22"/>
  </w:num>
  <w:num w:numId="6">
    <w:abstractNumId w:val="44"/>
  </w:num>
  <w:num w:numId="7">
    <w:abstractNumId w:val="41"/>
  </w:num>
  <w:num w:numId="8">
    <w:abstractNumId w:val="36"/>
  </w:num>
  <w:num w:numId="9">
    <w:abstractNumId w:val="42"/>
  </w:num>
  <w:num w:numId="10">
    <w:abstractNumId w:val="6"/>
  </w:num>
  <w:num w:numId="11">
    <w:abstractNumId w:val="24"/>
  </w:num>
  <w:num w:numId="12">
    <w:abstractNumId w:val="11"/>
  </w:num>
  <w:num w:numId="13">
    <w:abstractNumId w:val="14"/>
  </w:num>
  <w:num w:numId="14">
    <w:abstractNumId w:val="3"/>
  </w:num>
  <w:num w:numId="15">
    <w:abstractNumId w:val="20"/>
  </w:num>
  <w:num w:numId="16">
    <w:abstractNumId w:val="28"/>
  </w:num>
  <w:num w:numId="17">
    <w:abstractNumId w:val="38"/>
  </w:num>
  <w:num w:numId="18">
    <w:abstractNumId w:val="34"/>
  </w:num>
  <w:num w:numId="19">
    <w:abstractNumId w:val="0"/>
  </w:num>
  <w:num w:numId="20">
    <w:abstractNumId w:val="7"/>
  </w:num>
  <w:num w:numId="21">
    <w:abstractNumId w:val="4"/>
  </w:num>
  <w:num w:numId="22">
    <w:abstractNumId w:val="23"/>
  </w:num>
  <w:num w:numId="23">
    <w:abstractNumId w:val="25"/>
  </w:num>
  <w:num w:numId="24">
    <w:abstractNumId w:val="16"/>
  </w:num>
  <w:num w:numId="25">
    <w:abstractNumId w:val="10"/>
  </w:num>
  <w:num w:numId="26">
    <w:abstractNumId w:val="9"/>
  </w:num>
  <w:num w:numId="27">
    <w:abstractNumId w:val="33"/>
  </w:num>
  <w:num w:numId="28">
    <w:abstractNumId w:val="2"/>
  </w:num>
  <w:num w:numId="29">
    <w:abstractNumId w:val="12"/>
  </w:num>
  <w:num w:numId="30">
    <w:abstractNumId w:val="46"/>
  </w:num>
  <w:num w:numId="31">
    <w:abstractNumId w:val="13"/>
  </w:num>
  <w:num w:numId="32">
    <w:abstractNumId w:val="30"/>
  </w:num>
  <w:num w:numId="33">
    <w:abstractNumId w:val="26"/>
  </w:num>
  <w:num w:numId="34">
    <w:abstractNumId w:val="21"/>
  </w:num>
  <w:num w:numId="35">
    <w:abstractNumId w:val="1"/>
  </w:num>
  <w:num w:numId="36">
    <w:abstractNumId w:val="17"/>
  </w:num>
  <w:num w:numId="37">
    <w:abstractNumId w:val="31"/>
  </w:num>
  <w:num w:numId="38">
    <w:abstractNumId w:val="32"/>
  </w:num>
  <w:num w:numId="39">
    <w:abstractNumId w:val="27"/>
  </w:num>
  <w:num w:numId="40">
    <w:abstractNumId w:val="39"/>
  </w:num>
  <w:num w:numId="41">
    <w:abstractNumId w:val="8"/>
  </w:num>
  <w:num w:numId="42">
    <w:abstractNumId w:val="37"/>
  </w:num>
  <w:num w:numId="43">
    <w:abstractNumId w:val="18"/>
  </w:num>
  <w:num w:numId="44">
    <w:abstractNumId w:val="45"/>
  </w:num>
  <w:num w:numId="45">
    <w:abstractNumId w:val="35"/>
  </w:num>
  <w:num w:numId="46">
    <w:abstractNumId w:val="5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5505D"/>
    <w:rsid w:val="0005749C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C42A0"/>
    <w:rsid w:val="001F0EE8"/>
    <w:rsid w:val="001F4D8B"/>
    <w:rsid w:val="00200716"/>
    <w:rsid w:val="00236517"/>
    <w:rsid w:val="002775C1"/>
    <w:rsid w:val="002872E8"/>
    <w:rsid w:val="002B345F"/>
    <w:rsid w:val="00395E76"/>
    <w:rsid w:val="003A6CE2"/>
    <w:rsid w:val="003B2981"/>
    <w:rsid w:val="003B7FCA"/>
    <w:rsid w:val="003C59C2"/>
    <w:rsid w:val="00423329"/>
    <w:rsid w:val="00426CF3"/>
    <w:rsid w:val="00427BA2"/>
    <w:rsid w:val="004473B5"/>
    <w:rsid w:val="00481FD2"/>
    <w:rsid w:val="004A390B"/>
    <w:rsid w:val="004B6A8E"/>
    <w:rsid w:val="004D4E28"/>
    <w:rsid w:val="00522375"/>
    <w:rsid w:val="005749AF"/>
    <w:rsid w:val="005751FE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B1D11"/>
    <w:rsid w:val="006E6449"/>
    <w:rsid w:val="00706CC8"/>
    <w:rsid w:val="0070750E"/>
    <w:rsid w:val="00722AEB"/>
    <w:rsid w:val="0075307D"/>
    <w:rsid w:val="00774266"/>
    <w:rsid w:val="007745CD"/>
    <w:rsid w:val="00775848"/>
    <w:rsid w:val="007B13C0"/>
    <w:rsid w:val="007D27FF"/>
    <w:rsid w:val="007F39BB"/>
    <w:rsid w:val="00827263"/>
    <w:rsid w:val="0083151E"/>
    <w:rsid w:val="0083241A"/>
    <w:rsid w:val="00840D60"/>
    <w:rsid w:val="00873D1A"/>
    <w:rsid w:val="00877C04"/>
    <w:rsid w:val="0088108D"/>
    <w:rsid w:val="00881F36"/>
    <w:rsid w:val="00892E60"/>
    <w:rsid w:val="008B3BDA"/>
    <w:rsid w:val="008D1FB0"/>
    <w:rsid w:val="008D2DFF"/>
    <w:rsid w:val="008F32C1"/>
    <w:rsid w:val="009001EE"/>
    <w:rsid w:val="009048F1"/>
    <w:rsid w:val="00925F9A"/>
    <w:rsid w:val="00974C78"/>
    <w:rsid w:val="009770CB"/>
    <w:rsid w:val="00986501"/>
    <w:rsid w:val="009B6589"/>
    <w:rsid w:val="009C123D"/>
    <w:rsid w:val="009D4EB7"/>
    <w:rsid w:val="009D5854"/>
    <w:rsid w:val="00A45425"/>
    <w:rsid w:val="00A516AA"/>
    <w:rsid w:val="00A91875"/>
    <w:rsid w:val="00AE2CA6"/>
    <w:rsid w:val="00B10A8D"/>
    <w:rsid w:val="00B34C9F"/>
    <w:rsid w:val="00B82454"/>
    <w:rsid w:val="00B86821"/>
    <w:rsid w:val="00BD0197"/>
    <w:rsid w:val="00BD47E6"/>
    <w:rsid w:val="00BE65DC"/>
    <w:rsid w:val="00CD39D2"/>
    <w:rsid w:val="00CF3822"/>
    <w:rsid w:val="00D258B5"/>
    <w:rsid w:val="00D30E96"/>
    <w:rsid w:val="00D331FD"/>
    <w:rsid w:val="00D4112B"/>
    <w:rsid w:val="00DB774C"/>
    <w:rsid w:val="00E012A4"/>
    <w:rsid w:val="00E050E8"/>
    <w:rsid w:val="00E13A8A"/>
    <w:rsid w:val="00E156E0"/>
    <w:rsid w:val="00E245E7"/>
    <w:rsid w:val="00E3240D"/>
    <w:rsid w:val="00EA11B0"/>
    <w:rsid w:val="00F06293"/>
    <w:rsid w:val="00F10CC3"/>
    <w:rsid w:val="00F14F40"/>
    <w:rsid w:val="00F36C3F"/>
    <w:rsid w:val="00F54A7B"/>
    <w:rsid w:val="00F743D0"/>
    <w:rsid w:val="00F9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BB50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6452</Words>
  <Characters>38712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10</cp:revision>
  <cp:lastPrinted>2024-06-20T05:46:00Z</cp:lastPrinted>
  <dcterms:created xsi:type="dcterms:W3CDTF">2024-05-15T09:58:00Z</dcterms:created>
  <dcterms:modified xsi:type="dcterms:W3CDTF">2024-06-20T05:47:00Z</dcterms:modified>
</cp:coreProperties>
</file>