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…………….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>22</w:t>
      </w:r>
      <w:r w:rsidR="000B5442"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="00877C04">
        <w:rPr>
          <w:b/>
          <w:bCs/>
          <w:i/>
          <w:iCs/>
          <w:sz w:val="16"/>
          <w:szCs w:val="16"/>
          <w:shd w:val="clear" w:color="auto" w:fill="FFFFFF"/>
        </w:rPr>
        <w:t xml:space="preserve">maja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877C04" w:rsidRPr="00F36C3F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03.04.2024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22</w:t>
            </w:r>
            <w:r w:rsidRPr="00F36C3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>05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55 543 782,26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</w:t>
            </w:r>
            <w:r w:rsidR="0070750E">
              <w:rPr>
                <w:sz w:val="14"/>
                <w:szCs w:val="14"/>
              </w:rPr>
              <w:t>31 476</w:t>
            </w:r>
            <w:r w:rsidR="00877C04" w:rsidRPr="00F36C3F">
              <w:rPr>
                <w:sz w:val="14"/>
                <w:szCs w:val="14"/>
              </w:rPr>
              <w:t>,</w:t>
            </w:r>
            <w:r w:rsidR="0070750E">
              <w:rPr>
                <w:sz w:val="14"/>
                <w:szCs w:val="14"/>
              </w:rPr>
              <w:t>19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  <w:r w:rsidR="00877C04" w:rsidRPr="00F36C3F">
              <w:rPr>
                <w:sz w:val="14"/>
                <w:szCs w:val="14"/>
              </w:rPr>
              <w:t> </w:t>
            </w:r>
            <w:r w:rsidR="00F06293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75 258,55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29 882 127,39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F06293" w:rsidP="0070750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</w:t>
            </w:r>
            <w:r w:rsidR="0070750E">
              <w:rPr>
                <w:b/>
                <w:sz w:val="14"/>
                <w:szCs w:val="14"/>
              </w:rPr>
              <w:t>53 230,19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F06293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</w:t>
            </w:r>
            <w:r w:rsidR="00877C04" w:rsidRPr="00F36C3F">
              <w:rPr>
                <w:b/>
                <w:sz w:val="14"/>
                <w:szCs w:val="14"/>
              </w:rPr>
              <w:t xml:space="preserve"> </w:t>
            </w:r>
            <w:r w:rsidR="00F06293">
              <w:rPr>
                <w:b/>
                <w:sz w:val="14"/>
                <w:szCs w:val="14"/>
              </w:rPr>
              <w:t>6</w:t>
            </w:r>
            <w:r>
              <w:rPr>
                <w:b/>
                <w:sz w:val="14"/>
                <w:szCs w:val="14"/>
              </w:rPr>
              <w:t>35 </w:t>
            </w:r>
            <w:r w:rsidR="00F06293">
              <w:rPr>
                <w:b/>
                <w:sz w:val="14"/>
                <w:szCs w:val="14"/>
              </w:rPr>
              <w:t>357</w:t>
            </w:r>
            <w:r>
              <w:rPr>
                <w:b/>
                <w:sz w:val="14"/>
                <w:szCs w:val="14"/>
              </w:rPr>
              <w:t>,</w:t>
            </w:r>
            <w:r w:rsidR="00F06293">
              <w:rPr>
                <w:b/>
                <w:sz w:val="14"/>
                <w:szCs w:val="14"/>
              </w:rPr>
              <w:t>58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12 117 845,00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3 645 066,39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353 230,19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</w:t>
            </w:r>
            <w:r w:rsidR="00873D1A">
              <w:rPr>
                <w:i/>
                <w:iCs/>
                <w:sz w:val="14"/>
                <w:szCs w:val="14"/>
              </w:rPr>
              <w:t>998 296,58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9 691 659,00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F06293" w:rsidP="00F0629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400 000</w:t>
            </w:r>
            <w:r w:rsidR="00877C04" w:rsidRPr="00F36C3F">
              <w:rPr>
                <w:i/>
                <w:iCs/>
                <w:sz w:val="14"/>
                <w:szCs w:val="14"/>
              </w:rPr>
              <w:t>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F06293" w:rsidP="00F0629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10</w:t>
            </w:r>
            <w:r w:rsidR="00877C04" w:rsidRPr="00F36C3F">
              <w:rPr>
                <w:i/>
                <w:iCs/>
                <w:sz w:val="14"/>
                <w:szCs w:val="14"/>
              </w:rPr>
              <w:t> </w:t>
            </w:r>
            <w:r>
              <w:rPr>
                <w:i/>
                <w:iCs/>
                <w:sz w:val="14"/>
                <w:szCs w:val="14"/>
              </w:rPr>
              <w:t>0</w:t>
            </w:r>
            <w:r w:rsidR="00877C04" w:rsidRPr="00F36C3F">
              <w:rPr>
                <w:i/>
                <w:iCs/>
                <w:sz w:val="14"/>
                <w:szCs w:val="14"/>
              </w:rPr>
              <w:t>91 659,00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25 661 654,97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70750E" w:rsidP="00873D1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278</w:t>
            </w:r>
            <w:r w:rsidR="00877C04" w:rsidRPr="00F36C3F">
              <w:rPr>
                <w:b/>
                <w:bCs/>
                <w:sz w:val="14"/>
                <w:szCs w:val="14"/>
              </w:rPr>
              <w:t> </w:t>
            </w:r>
            <w:r w:rsidR="00873D1A">
              <w:rPr>
                <w:b/>
                <w:bCs/>
                <w:sz w:val="14"/>
                <w:szCs w:val="14"/>
              </w:rPr>
              <w:t>246</w:t>
            </w:r>
            <w:r w:rsidR="00877C04" w:rsidRPr="00F36C3F">
              <w:rPr>
                <w:b/>
                <w:bCs/>
                <w:sz w:val="14"/>
                <w:szCs w:val="14"/>
              </w:rPr>
              <w:t>,</w:t>
            </w:r>
            <w:r w:rsidR="00873D1A">
              <w:rPr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25 </w:t>
            </w:r>
            <w:r w:rsidR="00873D1A">
              <w:rPr>
                <w:b/>
                <w:bCs/>
                <w:sz w:val="14"/>
                <w:szCs w:val="14"/>
              </w:rPr>
              <w:t>939 900,97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877C04" w:rsidRPr="00F36C3F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25 091 654,97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3D1A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278 245</w:t>
            </w:r>
            <w:r w:rsidR="00877C04" w:rsidRPr="00F36C3F">
              <w:rPr>
                <w:i/>
                <w:iCs/>
                <w:sz w:val="14"/>
                <w:szCs w:val="14"/>
              </w:rPr>
              <w:t>,</w:t>
            </w:r>
            <w:r>
              <w:rPr>
                <w:i/>
                <w:iCs/>
                <w:sz w:val="14"/>
                <w:szCs w:val="14"/>
              </w:rPr>
              <w:t>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04" w:rsidRPr="00F36C3F" w:rsidRDefault="00877C04" w:rsidP="00873D1A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25 </w:t>
            </w:r>
            <w:r w:rsidR="00873D1A">
              <w:rPr>
                <w:i/>
                <w:iCs/>
                <w:sz w:val="14"/>
                <w:szCs w:val="14"/>
              </w:rPr>
              <w:t>369 900,9</w:t>
            </w:r>
            <w:r w:rsidRPr="00F36C3F">
              <w:rPr>
                <w:i/>
                <w:iCs/>
                <w:sz w:val="14"/>
                <w:szCs w:val="14"/>
              </w:rPr>
              <w:t>7</w:t>
            </w:r>
          </w:p>
        </w:tc>
      </w:tr>
    </w:tbl>
    <w:p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1C42A0" w:rsidRPr="00F36C3F" w:rsidRDefault="001C42A0" w:rsidP="001C42A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:rsidR="001C42A0" w:rsidRPr="00F36C3F" w:rsidRDefault="001C42A0" w:rsidP="001C42A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1C42A0" w:rsidRPr="00F36C3F" w:rsidRDefault="001C42A0" w:rsidP="001C42A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:rsidR="00F36C3F" w:rsidRPr="00F36C3F" w:rsidRDefault="00F36C3F" w:rsidP="00F36C3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1C42A0" w:rsidRPr="00F36C3F" w:rsidRDefault="001C42A0" w:rsidP="001C42A0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:rsidR="001C42A0" w:rsidRPr="00F36C3F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:rsidR="001C42A0" w:rsidRDefault="001C42A0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:rsid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E245E7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:rsidR="00F36C3F" w:rsidRDefault="00E245E7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:rsidR="00F36C3F" w:rsidRPr="00F36C3F" w:rsidRDefault="00E245E7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:rsidR="00F36C3F" w:rsidRP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F36C3F" w:rsidRPr="00F36C3F" w:rsidRDefault="00F36C3F" w:rsidP="001C42A0">
      <w:pPr>
        <w:pStyle w:val="Tekstdymka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:rsidR="00F36C3F" w:rsidRPr="00F36C3F" w:rsidRDefault="00F36C3F" w:rsidP="00F36C3F">
      <w:pPr>
        <w:numPr>
          <w:ilvl w:val="0"/>
          <w:numId w:val="2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 xml:space="preserve">zwiększono dochody w rozdziale 75807 § 2920 o kwotę 1.252.999,00 zł (cześć wyrównawcza subwencji ogólnej – kwota uzupełniająca). </w:t>
      </w:r>
    </w:p>
    <w:p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:rsidR="00873D1A" w:rsidRPr="005A24AD" w:rsidRDefault="00873D1A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:rsidR="00873D1A" w:rsidRDefault="002872E8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:rsidR="00F06293" w:rsidRPr="005A24AD" w:rsidRDefault="00F06293" w:rsidP="00873D1A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:rsidR="00873D1A" w:rsidRPr="005A24AD" w:rsidRDefault="005A24AD" w:rsidP="005A24AD">
      <w:pPr>
        <w:pStyle w:val="Tekstdymka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:rsidR="001C42A0" w:rsidRPr="00F36C3F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E13A8A" w:rsidRPr="00F36C3F" w:rsidRDefault="00E13A8A" w:rsidP="00E13A8A">
      <w:pPr>
        <w:pStyle w:val="Akapitzlist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E13A8A" w:rsidRPr="00F36C3F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6663DC" w:rsidRPr="005A24AD" w:rsidRDefault="00E13A8A" w:rsidP="00E13A8A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:rsidR="005A24AD" w:rsidRPr="005A24AD" w:rsidRDefault="005A24AD" w:rsidP="005A24AD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A24AD" w:rsidRPr="005A24AD" w:rsidRDefault="005A24AD" w:rsidP="005A24AD">
      <w:pPr>
        <w:pStyle w:val="Akapitzlist"/>
        <w:numPr>
          <w:ilvl w:val="0"/>
          <w:numId w:val="39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 xml:space="preserve">246,00 zł. </w:t>
      </w:r>
    </w:p>
    <w:p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Planując wydatki majątkowe na realizację przedsięwzięć przyjęto zasady grupowania ich wg zakresu przedmiotowego. </w:t>
      </w:r>
    </w:p>
    <w:p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:rsidR="007745CD" w:rsidRPr="00F36C3F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:rsidR="007745CD" w:rsidRPr="00F36C3F" w:rsidRDefault="007745CD" w:rsidP="007745CD">
      <w:pPr>
        <w:pStyle w:val="Tekstpodstawowy"/>
        <w:numPr>
          <w:ilvl w:val="0"/>
          <w:numId w:val="20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</w:p>
    <w:p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154D2F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03.04.2024 r. </w:t>
            </w:r>
          </w:p>
        </w:tc>
        <w:tc>
          <w:tcPr>
            <w:tcW w:w="560" w:type="pct"/>
          </w:tcPr>
          <w:p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:rsidR="00154D2F" w:rsidRPr="00F36C3F" w:rsidRDefault="00154D2F" w:rsidP="0070750E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70750E">
              <w:rPr>
                <w:sz w:val="14"/>
                <w:szCs w:val="14"/>
              </w:rPr>
              <w:t>22</w:t>
            </w:r>
            <w:r w:rsidRPr="00F36C3F">
              <w:rPr>
                <w:sz w:val="14"/>
                <w:szCs w:val="14"/>
              </w:rPr>
              <w:t>.</w:t>
            </w:r>
            <w:r w:rsidR="0070750E">
              <w:rPr>
                <w:sz w:val="14"/>
                <w:szCs w:val="14"/>
              </w:rPr>
              <w:t>05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154D2F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59 126 569,03</w:t>
            </w:r>
          </w:p>
        </w:tc>
        <w:tc>
          <w:tcPr>
            <w:tcW w:w="560" w:type="pct"/>
            <w:vAlign w:val="center"/>
          </w:tcPr>
          <w:p w:rsidR="00154D2F" w:rsidRPr="00F36C3F" w:rsidRDefault="005A24AD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631</w:t>
            </w:r>
            <w:r w:rsidR="00154D2F" w:rsidRPr="00F36C3F"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476</w:t>
            </w:r>
            <w:r w:rsidR="00154D2F" w:rsidRPr="00F36C3F">
              <w:rPr>
                <w:b/>
                <w:bCs/>
                <w:sz w:val="14"/>
                <w:szCs w:val="14"/>
              </w:rPr>
              <w:t>,</w:t>
            </w:r>
            <w:r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59 </w:t>
            </w:r>
            <w:r w:rsidR="005A24AD">
              <w:rPr>
                <w:b/>
                <w:bCs/>
                <w:sz w:val="14"/>
                <w:szCs w:val="14"/>
              </w:rPr>
              <w:t>758 045,22</w:t>
            </w:r>
          </w:p>
        </w:tc>
      </w:tr>
      <w:tr w:rsidR="00154D2F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29 485 944,06</w:t>
            </w:r>
          </w:p>
        </w:tc>
        <w:tc>
          <w:tcPr>
            <w:tcW w:w="560" w:type="pct"/>
            <w:vAlign w:val="center"/>
          </w:tcPr>
          <w:p w:rsidR="00154D2F" w:rsidRPr="00F36C3F" w:rsidRDefault="005A24AD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258 630,19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 xml:space="preserve">29 </w:t>
            </w:r>
            <w:r w:rsidR="005A24AD">
              <w:rPr>
                <w:b/>
                <w:bCs/>
                <w:sz w:val="14"/>
                <w:szCs w:val="14"/>
              </w:rPr>
              <w:t>744 574,25</w:t>
            </w:r>
          </w:p>
        </w:tc>
      </w:tr>
      <w:tr w:rsidR="00154D2F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:rsidR="00154D2F" w:rsidRPr="00F36C3F" w:rsidRDefault="005A24AD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- 100 439,75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154D2F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</w:tr>
      <w:tr w:rsidR="00154D2F" w:rsidRPr="00F36C3F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29 640 624,97</w:t>
            </w:r>
          </w:p>
        </w:tc>
        <w:tc>
          <w:tcPr>
            <w:tcW w:w="560" w:type="pct"/>
            <w:vAlign w:val="center"/>
          </w:tcPr>
          <w:p w:rsidR="00154D2F" w:rsidRPr="00F36C3F" w:rsidRDefault="005A24AD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372 846</w:t>
            </w:r>
            <w:r w:rsidR="00154D2F" w:rsidRPr="00F36C3F">
              <w:rPr>
                <w:b/>
                <w:bCs/>
                <w:sz w:val="14"/>
                <w:szCs w:val="14"/>
              </w:rPr>
              <w:t>,</w:t>
            </w:r>
            <w:r>
              <w:rPr>
                <w:b/>
                <w:bCs/>
                <w:sz w:val="14"/>
                <w:szCs w:val="14"/>
              </w:rPr>
              <w:t>00</w:t>
            </w:r>
          </w:p>
        </w:tc>
        <w:tc>
          <w:tcPr>
            <w:tcW w:w="840" w:type="pct"/>
            <w:vAlign w:val="center"/>
          </w:tcPr>
          <w:p w:rsidR="00154D2F" w:rsidRPr="00F36C3F" w:rsidRDefault="005A24AD" w:rsidP="005A24AD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</w:t>
            </w:r>
            <w:r w:rsidR="00154D2F" w:rsidRPr="00F36C3F">
              <w:rPr>
                <w:b/>
                <w:bCs/>
                <w:sz w:val="14"/>
                <w:szCs w:val="14"/>
              </w:rPr>
              <w:t> </w:t>
            </w:r>
            <w:r>
              <w:rPr>
                <w:b/>
                <w:bCs/>
                <w:sz w:val="14"/>
                <w:szCs w:val="14"/>
              </w:rPr>
              <w:t>013 470,97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:rsidR="00A45425" w:rsidRPr="00F36C3F" w:rsidRDefault="00A45425" w:rsidP="00A4542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:rsidR="00A45425" w:rsidRPr="00F36C3F" w:rsidRDefault="00A45425" w:rsidP="00A4542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:rsidR="00A45425" w:rsidRPr="00F36C3F" w:rsidRDefault="00A45425" w:rsidP="00A45425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:rsidR="00A45425" w:rsidRPr="00F36C3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:rsidR="00A45425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:rsidR="00A45425" w:rsidRPr="000D6E4F" w:rsidRDefault="00A45425" w:rsidP="00A45425">
      <w:pPr>
        <w:pStyle w:val="Tekstdymka"/>
        <w:numPr>
          <w:ilvl w:val="0"/>
          <w:numId w:val="34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rozdział 85395 zwiększono o kwotę 76,92 zł -  </w:t>
      </w:r>
      <w:proofErr w:type="spellStart"/>
      <w:r w:rsidRPr="000D6E4F">
        <w:rPr>
          <w:rFonts w:ascii="Times New Roman" w:hAnsi="Times New Roman"/>
          <w:sz w:val="18"/>
          <w:szCs w:val="18"/>
        </w:rPr>
        <w:t>rozl.fundusz</w:t>
      </w:r>
      <w:proofErr w:type="spellEnd"/>
      <w:r w:rsidRPr="000D6E4F">
        <w:rPr>
          <w:rFonts w:ascii="Times New Roman" w:hAnsi="Times New Roman"/>
          <w:sz w:val="18"/>
          <w:szCs w:val="18"/>
        </w:rPr>
        <w:t xml:space="preserve"> COVID-19; </w:t>
      </w:r>
    </w:p>
    <w:p w:rsidR="009048F1" w:rsidRDefault="009048F1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:rsidR="009048F1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71035 o kwotę 35.000,00 zł; </w:t>
      </w:r>
    </w:p>
    <w:p w:rsid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zwiększono rozdział 75023 o kwotę 105.032,00 zł; </w:t>
      </w:r>
    </w:p>
    <w:p w:rsidR="000D6E4F" w:rsidRP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:rsidR="000D6E4F" w:rsidRPr="000D6E4F" w:rsidRDefault="000D6E4F" w:rsidP="000D6E4F">
      <w:pPr>
        <w:pStyle w:val="Akapitzlist"/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III.1.1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:rsidR="005A24AD" w:rsidRPr="005A24AD" w:rsidRDefault="005A24AD" w:rsidP="005A24AD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:rsidR="005A24AD" w:rsidRPr="005751FE" w:rsidRDefault="005A24AD" w:rsidP="005A24AD">
      <w:pPr>
        <w:pStyle w:val="Tekstdymka"/>
        <w:numPr>
          <w:ilvl w:val="0"/>
          <w:numId w:val="40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:rsidR="005751FE" w:rsidRPr="005751FE" w:rsidRDefault="005751FE" w:rsidP="005751FE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:rsidR="005751FE" w:rsidRPr="005751FE" w:rsidRDefault="005751FE" w:rsidP="005751FE">
      <w:pPr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:rsidR="005A24AD" w:rsidRPr="000D6E4F" w:rsidRDefault="005A24AD" w:rsidP="006663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:rsidR="001C42A0" w:rsidRPr="00A45425" w:rsidRDefault="001C42A0" w:rsidP="001C42A0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:rsidR="001C42A0" w:rsidRPr="00A45425" w:rsidRDefault="001C42A0" w:rsidP="001C42A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:rsidR="00A45425" w:rsidRPr="00A45425" w:rsidRDefault="00A45425" w:rsidP="00A45425">
      <w:pPr>
        <w:pStyle w:val="Akapitzlist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:rsidR="00F36C3F" w:rsidRPr="00A45425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:rsidR="00F36C3F" w:rsidRPr="00A45425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:rsidR="00F36C3F" w:rsidRDefault="00F36C3F" w:rsidP="00F36C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:rsidR="005751FE" w:rsidRPr="006E6449" w:rsidRDefault="005751FE" w:rsidP="005751FE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:rsidR="005751FE" w:rsidRPr="006E6449" w:rsidRDefault="005751FE" w:rsidP="005751FE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lastRenderedPageBreak/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:rsidR="006E6449" w:rsidRPr="006E6449" w:rsidRDefault="006E6449" w:rsidP="006E6449">
      <w:pPr>
        <w:pStyle w:val="Akapitzlist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:rsidR="009D4EB7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8D2DFF" w:rsidRPr="00F36C3F" w:rsidRDefault="008D2DFF" w:rsidP="008D2DFF">
      <w:pPr>
        <w:pStyle w:val="Akapitzlist"/>
        <w:widowControl w:val="0"/>
        <w:numPr>
          <w:ilvl w:val="0"/>
          <w:numId w:val="1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03.04.2024 r. </w:t>
            </w:r>
          </w:p>
        </w:tc>
        <w:tc>
          <w:tcPr>
            <w:tcW w:w="604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>
              <w:rPr>
                <w:sz w:val="14"/>
                <w:szCs w:val="14"/>
              </w:rPr>
              <w:t>22.05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4 948 0871,67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-400 000,00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1 248 871,67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400 000</w:t>
            </w:r>
            <w:r w:rsidRPr="00F36C3F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>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:rsidR="006663DC" w:rsidRPr="000D6E4F" w:rsidRDefault="006663DC" w:rsidP="006663DC">
      <w:pPr>
        <w:numPr>
          <w:ilvl w:val="0"/>
          <w:numId w:val="23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0D6E4F" w:rsidRPr="000D6E4F" w:rsidRDefault="000D6E4F" w:rsidP="006663DC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:rsidR="000D6E4F" w:rsidRPr="000D6E4F" w:rsidRDefault="0070750E" w:rsidP="000D6E4F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:rsidR="000D6E4F" w:rsidRPr="000D6E4F" w:rsidRDefault="0070750E" w:rsidP="006663DC">
      <w:pPr>
        <w:pStyle w:val="Akapitzlist"/>
        <w:numPr>
          <w:ilvl w:val="0"/>
          <w:numId w:val="24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:rsidR="006663DC" w:rsidRPr="000D6E4F" w:rsidRDefault="000D6E4F" w:rsidP="000D6E4F">
      <w:pPr>
        <w:pStyle w:val="Akapitzlist"/>
        <w:numPr>
          <w:ilvl w:val="0"/>
          <w:numId w:val="23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:rsidR="006E6449" w:rsidRDefault="006E6449" w:rsidP="006E6449">
      <w:pPr>
        <w:jc w:val="both"/>
        <w:rPr>
          <w:i/>
          <w:sz w:val="20"/>
          <w:szCs w:val="20"/>
          <w:u w:val="single"/>
        </w:rPr>
      </w:pPr>
    </w:p>
    <w:p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:rsidR="00F06293" w:rsidRPr="000D6E4F" w:rsidRDefault="00F06293" w:rsidP="00F06293">
      <w:pPr>
        <w:numPr>
          <w:ilvl w:val="0"/>
          <w:numId w:val="42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:rsidR="00F06293" w:rsidRPr="000D6E4F" w:rsidRDefault="00F06293" w:rsidP="00F06293">
      <w:pPr>
        <w:pStyle w:val="Akapitzlist"/>
        <w:numPr>
          <w:ilvl w:val="0"/>
          <w:numId w:val="4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:rsidR="009D4EB7" w:rsidRDefault="009D4EB7" w:rsidP="009D4EB7">
      <w:pPr>
        <w:jc w:val="both"/>
        <w:rPr>
          <w:i/>
          <w:sz w:val="22"/>
          <w:szCs w:val="22"/>
        </w:rPr>
      </w:pPr>
    </w:p>
    <w:p w:rsidR="00200716" w:rsidRDefault="00200716" w:rsidP="009D4EB7">
      <w:pPr>
        <w:jc w:val="both"/>
        <w:rPr>
          <w:i/>
          <w:sz w:val="22"/>
          <w:szCs w:val="22"/>
        </w:rPr>
      </w:pPr>
    </w:p>
    <w:p w:rsidR="00200716" w:rsidRPr="00F36C3F" w:rsidRDefault="00200716" w:rsidP="009D4EB7">
      <w:pPr>
        <w:jc w:val="both"/>
        <w:rPr>
          <w:i/>
          <w:sz w:val="22"/>
          <w:szCs w:val="22"/>
        </w:rPr>
      </w:pPr>
    </w:p>
    <w:p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:rsidR="009D4EB7" w:rsidRPr="00F36C3F" w:rsidRDefault="009D4EB7" w:rsidP="009D4EB7">
      <w:pPr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:rsidR="009D4EB7" w:rsidRPr="00F36C3F" w:rsidRDefault="009D4EB7" w:rsidP="009D4EB7">
      <w:pPr>
        <w:widowControl w:val="0"/>
        <w:numPr>
          <w:ilvl w:val="0"/>
          <w:numId w:val="8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:rsidR="00426CF3" w:rsidRPr="00F36C3F" w:rsidRDefault="00706CC8" w:rsidP="00426CF3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</w:t>
      </w:r>
      <w:r w:rsidR="00426CF3" w:rsidRPr="00F36C3F">
        <w:rPr>
          <w:rFonts w:ascii="Times New Roman" w:hAnsi="Times New Roman"/>
          <w:sz w:val="20"/>
          <w:szCs w:val="20"/>
        </w:rPr>
        <w:lastRenderedPageBreak/>
        <w:t xml:space="preserve">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:rsidR="002B345F" w:rsidRPr="00F36C3F" w:rsidRDefault="0088108D" w:rsidP="001F4D8B">
      <w:pPr>
        <w:pStyle w:val="Akapitzlist"/>
        <w:widowControl w:val="0"/>
        <w:numPr>
          <w:ilvl w:val="0"/>
          <w:numId w:val="1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</w:tbl>
    <w:p w:rsidR="00925F9A" w:rsidRPr="00F36C3F" w:rsidRDefault="00925F9A" w:rsidP="00925F9A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</w:t>
      </w:r>
      <w:bookmarkStart w:id="0" w:name="_GoBack"/>
      <w:bookmarkEnd w:id="0"/>
      <w:r w:rsidRPr="00B34C9F">
        <w:rPr>
          <w:sz w:val="20"/>
          <w:szCs w:val="20"/>
        </w:rPr>
        <w:t>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sectPr w:rsidR="009D4EB7" w:rsidRPr="00F36C3F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A6" w:rsidRDefault="00AE2CA6">
      <w:r>
        <w:separator/>
      </w:r>
    </w:p>
  </w:endnote>
  <w:endnote w:type="continuationSeparator" w:id="0">
    <w:p w:rsidR="00AE2CA6" w:rsidRDefault="00AE2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293" w:rsidRDefault="00F0629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00716">
      <w:rPr>
        <w:noProof/>
      </w:rPr>
      <w:t>6</w:t>
    </w:r>
    <w:r>
      <w:fldChar w:fldCharType="end"/>
    </w:r>
  </w:p>
  <w:p w:rsidR="00F06293" w:rsidRDefault="00F06293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A6" w:rsidRDefault="00AE2CA6">
      <w:r>
        <w:separator/>
      </w:r>
    </w:p>
  </w:footnote>
  <w:footnote w:type="continuationSeparator" w:id="0">
    <w:p w:rsidR="00AE2CA6" w:rsidRDefault="00AE2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9032FB"/>
    <w:multiLevelType w:val="hybridMultilevel"/>
    <w:tmpl w:val="C9CE6424"/>
    <w:lvl w:ilvl="0" w:tplc="731ED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16F8A"/>
    <w:multiLevelType w:val="hybridMultilevel"/>
    <w:tmpl w:val="D2CA4D60"/>
    <w:lvl w:ilvl="0" w:tplc="2506D3DA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0C972BE4"/>
    <w:multiLevelType w:val="hybridMultilevel"/>
    <w:tmpl w:val="5CA2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25BC6"/>
    <w:multiLevelType w:val="hybridMultilevel"/>
    <w:tmpl w:val="DB806A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546CD"/>
    <w:multiLevelType w:val="hybridMultilevel"/>
    <w:tmpl w:val="A94E8FDC"/>
    <w:lvl w:ilvl="0" w:tplc="DB4C8D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E03F2A"/>
    <w:multiLevelType w:val="hybridMultilevel"/>
    <w:tmpl w:val="D4C0486C"/>
    <w:lvl w:ilvl="0" w:tplc="04150001">
      <w:start w:val="1"/>
      <w:numFmt w:val="bullet"/>
      <w:lvlText w:val=""/>
      <w:lvlJc w:val="left"/>
      <w:pPr>
        <w:ind w:left="18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14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B07A96"/>
    <w:multiLevelType w:val="hybridMultilevel"/>
    <w:tmpl w:val="DB98DC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40B6D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2743D"/>
    <w:multiLevelType w:val="hybridMultilevel"/>
    <w:tmpl w:val="E6D6423A"/>
    <w:lvl w:ilvl="0" w:tplc="5792E3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C72B54"/>
    <w:multiLevelType w:val="hybridMultilevel"/>
    <w:tmpl w:val="18EC5CEA"/>
    <w:lvl w:ilvl="0" w:tplc="EB329B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6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0A62692"/>
    <w:multiLevelType w:val="hybridMultilevel"/>
    <w:tmpl w:val="29C60AD2"/>
    <w:lvl w:ilvl="0" w:tplc="74E618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E4A2E"/>
    <w:multiLevelType w:val="hybridMultilevel"/>
    <w:tmpl w:val="04767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2" w15:restartNumberingAfterBreak="0">
    <w:nsid w:val="581901A2"/>
    <w:multiLevelType w:val="hybridMultilevel"/>
    <w:tmpl w:val="333E4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254404"/>
    <w:multiLevelType w:val="hybridMultilevel"/>
    <w:tmpl w:val="1534EB9A"/>
    <w:lvl w:ilvl="0" w:tplc="75B66AE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5C42C9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4641D"/>
    <w:multiLevelType w:val="hybridMultilevel"/>
    <w:tmpl w:val="44D4E1FA"/>
    <w:lvl w:ilvl="0" w:tplc="D69800A4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41" w15:restartNumberingAfterBreak="0">
    <w:nsid w:val="7A7B0824"/>
    <w:multiLevelType w:val="hybridMultilevel"/>
    <w:tmpl w:val="ACF482E2"/>
    <w:lvl w:ilvl="0" w:tplc="7FEE729E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0525EF"/>
    <w:multiLevelType w:val="hybridMultilevel"/>
    <w:tmpl w:val="E1C2566C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7"/>
  </w:num>
  <w:num w:numId="3">
    <w:abstractNumId w:val="40"/>
  </w:num>
  <w:num w:numId="4">
    <w:abstractNumId w:val="14"/>
  </w:num>
  <w:num w:numId="5">
    <w:abstractNumId w:val="20"/>
  </w:num>
  <w:num w:numId="6">
    <w:abstractNumId w:val="41"/>
  </w:num>
  <w:num w:numId="7">
    <w:abstractNumId w:val="38"/>
  </w:num>
  <w:num w:numId="8">
    <w:abstractNumId w:val="33"/>
  </w:num>
  <w:num w:numId="9">
    <w:abstractNumId w:val="39"/>
  </w:num>
  <w:num w:numId="10">
    <w:abstractNumId w:val="5"/>
  </w:num>
  <w:num w:numId="11">
    <w:abstractNumId w:val="22"/>
  </w:num>
  <w:num w:numId="12">
    <w:abstractNumId w:val="10"/>
  </w:num>
  <w:num w:numId="13">
    <w:abstractNumId w:val="13"/>
  </w:num>
  <w:num w:numId="14">
    <w:abstractNumId w:val="3"/>
  </w:num>
  <w:num w:numId="15">
    <w:abstractNumId w:val="18"/>
  </w:num>
  <w:num w:numId="16">
    <w:abstractNumId w:val="26"/>
  </w:num>
  <w:num w:numId="17">
    <w:abstractNumId w:val="35"/>
  </w:num>
  <w:num w:numId="18">
    <w:abstractNumId w:val="32"/>
  </w:num>
  <w:num w:numId="19">
    <w:abstractNumId w:val="0"/>
  </w:num>
  <w:num w:numId="20">
    <w:abstractNumId w:val="6"/>
  </w:num>
  <w:num w:numId="21">
    <w:abstractNumId w:val="4"/>
  </w:num>
  <w:num w:numId="22">
    <w:abstractNumId w:val="21"/>
  </w:num>
  <w:num w:numId="23">
    <w:abstractNumId w:val="23"/>
  </w:num>
  <w:num w:numId="24">
    <w:abstractNumId w:val="15"/>
  </w:num>
  <w:num w:numId="25">
    <w:abstractNumId w:val="9"/>
  </w:num>
  <w:num w:numId="26">
    <w:abstractNumId w:val="8"/>
  </w:num>
  <w:num w:numId="27">
    <w:abstractNumId w:val="31"/>
  </w:num>
  <w:num w:numId="28">
    <w:abstractNumId w:val="2"/>
  </w:num>
  <w:num w:numId="29">
    <w:abstractNumId w:val="11"/>
  </w:num>
  <w:num w:numId="30">
    <w:abstractNumId w:val="42"/>
  </w:num>
  <w:num w:numId="31">
    <w:abstractNumId w:val="12"/>
  </w:num>
  <w:num w:numId="32">
    <w:abstractNumId w:val="28"/>
  </w:num>
  <w:num w:numId="33">
    <w:abstractNumId w:val="24"/>
  </w:num>
  <w:num w:numId="34">
    <w:abstractNumId w:val="19"/>
  </w:num>
  <w:num w:numId="35">
    <w:abstractNumId w:val="1"/>
  </w:num>
  <w:num w:numId="36">
    <w:abstractNumId w:val="16"/>
  </w:num>
  <w:num w:numId="37">
    <w:abstractNumId w:val="29"/>
  </w:num>
  <w:num w:numId="38">
    <w:abstractNumId w:val="30"/>
  </w:num>
  <w:num w:numId="39">
    <w:abstractNumId w:val="25"/>
  </w:num>
  <w:num w:numId="40">
    <w:abstractNumId w:val="36"/>
  </w:num>
  <w:num w:numId="41">
    <w:abstractNumId w:val="7"/>
  </w:num>
  <w:num w:numId="42">
    <w:abstractNumId w:val="34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B7"/>
    <w:rsid w:val="0005505D"/>
    <w:rsid w:val="0005749C"/>
    <w:rsid w:val="00070F20"/>
    <w:rsid w:val="000B5442"/>
    <w:rsid w:val="000D6E4F"/>
    <w:rsid w:val="000E2E92"/>
    <w:rsid w:val="000F68F7"/>
    <w:rsid w:val="00121ABA"/>
    <w:rsid w:val="001435B8"/>
    <w:rsid w:val="00154D2F"/>
    <w:rsid w:val="00154E00"/>
    <w:rsid w:val="001C42A0"/>
    <w:rsid w:val="001F0EE8"/>
    <w:rsid w:val="001F4D8B"/>
    <w:rsid w:val="00200716"/>
    <w:rsid w:val="002775C1"/>
    <w:rsid w:val="002872E8"/>
    <w:rsid w:val="002B345F"/>
    <w:rsid w:val="00395E76"/>
    <w:rsid w:val="003A6CE2"/>
    <w:rsid w:val="003C59C2"/>
    <w:rsid w:val="00423329"/>
    <w:rsid w:val="00426CF3"/>
    <w:rsid w:val="00427BA2"/>
    <w:rsid w:val="004473B5"/>
    <w:rsid w:val="00481FD2"/>
    <w:rsid w:val="004A390B"/>
    <w:rsid w:val="004B6A8E"/>
    <w:rsid w:val="004D4E28"/>
    <w:rsid w:val="005749AF"/>
    <w:rsid w:val="005751FE"/>
    <w:rsid w:val="005A180F"/>
    <w:rsid w:val="005A24AD"/>
    <w:rsid w:val="005B7722"/>
    <w:rsid w:val="006415D0"/>
    <w:rsid w:val="006507CA"/>
    <w:rsid w:val="006663DC"/>
    <w:rsid w:val="00683825"/>
    <w:rsid w:val="006B1D11"/>
    <w:rsid w:val="006E6449"/>
    <w:rsid w:val="00706CC8"/>
    <w:rsid w:val="0070750E"/>
    <w:rsid w:val="00722AEB"/>
    <w:rsid w:val="007745CD"/>
    <w:rsid w:val="00775848"/>
    <w:rsid w:val="007B13C0"/>
    <w:rsid w:val="007D27FF"/>
    <w:rsid w:val="00827263"/>
    <w:rsid w:val="0083151E"/>
    <w:rsid w:val="0083241A"/>
    <w:rsid w:val="00840D60"/>
    <w:rsid w:val="00873D1A"/>
    <w:rsid w:val="00877C04"/>
    <w:rsid w:val="0088108D"/>
    <w:rsid w:val="00881F36"/>
    <w:rsid w:val="00892E60"/>
    <w:rsid w:val="008B3BDA"/>
    <w:rsid w:val="008D1FB0"/>
    <w:rsid w:val="008D2DFF"/>
    <w:rsid w:val="008F32C1"/>
    <w:rsid w:val="009001EE"/>
    <w:rsid w:val="009048F1"/>
    <w:rsid w:val="00925F9A"/>
    <w:rsid w:val="009770CB"/>
    <w:rsid w:val="00986501"/>
    <w:rsid w:val="009B6589"/>
    <w:rsid w:val="009C123D"/>
    <w:rsid w:val="009D4EB7"/>
    <w:rsid w:val="009D5854"/>
    <w:rsid w:val="00A45425"/>
    <w:rsid w:val="00A516AA"/>
    <w:rsid w:val="00A91875"/>
    <w:rsid w:val="00AE2CA6"/>
    <w:rsid w:val="00B10A8D"/>
    <w:rsid w:val="00B34C9F"/>
    <w:rsid w:val="00B82454"/>
    <w:rsid w:val="00B86821"/>
    <w:rsid w:val="00BD0197"/>
    <w:rsid w:val="00BD47E6"/>
    <w:rsid w:val="00BE65DC"/>
    <w:rsid w:val="00CD39D2"/>
    <w:rsid w:val="00D258B5"/>
    <w:rsid w:val="00D30E96"/>
    <w:rsid w:val="00D331FD"/>
    <w:rsid w:val="00D4112B"/>
    <w:rsid w:val="00E012A4"/>
    <w:rsid w:val="00E050E8"/>
    <w:rsid w:val="00E13A8A"/>
    <w:rsid w:val="00E245E7"/>
    <w:rsid w:val="00E3240D"/>
    <w:rsid w:val="00F06293"/>
    <w:rsid w:val="00F10CC3"/>
    <w:rsid w:val="00F14F40"/>
    <w:rsid w:val="00F36C3F"/>
    <w:rsid w:val="00F54A7B"/>
    <w:rsid w:val="00F743D0"/>
    <w:rsid w:val="00F9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33B5B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5737</Words>
  <Characters>34424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5</cp:revision>
  <cp:lastPrinted>2024-05-15T10:34:00Z</cp:lastPrinted>
  <dcterms:created xsi:type="dcterms:W3CDTF">2024-05-15T09:58:00Z</dcterms:created>
  <dcterms:modified xsi:type="dcterms:W3CDTF">2024-05-16T09:41:00Z</dcterms:modified>
</cp:coreProperties>
</file>