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94B8D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UCHWAŁA NR …/…/2026</w:t>
      </w:r>
    </w:p>
    <w:p w14:paraId="2054442E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RADY MIEJSKIEJ W MIĘDZYBORZU</w:t>
      </w:r>
    </w:p>
    <w:p w14:paraId="5BC85806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z dnia … 2026 r.</w:t>
      </w:r>
    </w:p>
    <w:p w14:paraId="1D9D294A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w sprawie udzielenia pomocy finansowej Województwu Wielkopolskiemu na dofinansowanie kolejowych przewozów pasażerskich w latach 2027–2030</w:t>
      </w:r>
    </w:p>
    <w:p w14:paraId="5AC6BE2F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Na podstawie art. 10 ust. 2 i art. 18 ust. 2 pkt 15 ustawy z dnia 8 marca 1990 r. o samorządzie gminnym (</w:t>
      </w:r>
      <w:proofErr w:type="spellStart"/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t.j</w:t>
      </w:r>
      <w:proofErr w:type="spellEnd"/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. Dz. U. z 2026 r. poz. 662) oraz art. 216 ust. 2 pkt 5 i art. 220 ust. 1 i 2 ustawy z dnia 27 sierpnia 2009 r. o finansach publicznych (</w:t>
      </w:r>
      <w:proofErr w:type="spellStart"/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t.j</w:t>
      </w:r>
      <w:proofErr w:type="spellEnd"/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. Dz. U. z 2025 r. poz. 1483 ze zm.), Rada Miejska w Międzyborzu uchwala, co następuje:</w:t>
      </w:r>
    </w:p>
    <w:p w14:paraId="2C081157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1</w:t>
      </w:r>
    </w:p>
    <w:p w14:paraId="4C8DF731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Postanawia się udzielić z budżetu Miasta i Gminy Międzybórz pomocy finansowej Województwu Wielkopolskiemu w formie dotacji celowej w łącznej kwocie do 586 683,00 zł (słownie: pięćset osiemdziesiąt sześć tysięcy sześćset osiemdziesiąt trzy złote 00/100) z przeznaczeniem na dofinansowanie publicznego transportu zbiorowego w zakresie kolejowych przewozów pasażerskich w ramach Kalisko-Ostrowskiej Kolei Aglomeracyjnej na odcinku Odolanów – Międzybórz w latach 2027–2030, w podziale na poszczególne lata:</w:t>
      </w:r>
    </w:p>
    <w:p w14:paraId="7D5102AA" w14:textId="77777777" w:rsidR="009F35CC" w:rsidRPr="009F35CC" w:rsidRDefault="009F35CC" w:rsidP="009F35CC">
      <w:pPr>
        <w:pStyle w:val="Bezodstpw"/>
        <w:rPr>
          <w:lang w:eastAsia="pl-PL"/>
        </w:rPr>
      </w:pPr>
      <w:r w:rsidRPr="009F35CC">
        <w:rPr>
          <w:lang w:eastAsia="pl-PL"/>
        </w:rPr>
        <w:t>1) w roku 2027 – kwotę do 143 219,00 zł;</w:t>
      </w:r>
    </w:p>
    <w:p w14:paraId="27E03B3B" w14:textId="77777777" w:rsidR="009F35CC" w:rsidRPr="009F35CC" w:rsidRDefault="009F35CC" w:rsidP="009F35CC">
      <w:pPr>
        <w:pStyle w:val="Bezodstpw"/>
        <w:rPr>
          <w:lang w:eastAsia="pl-PL"/>
        </w:rPr>
      </w:pPr>
      <w:r w:rsidRPr="009F35CC">
        <w:rPr>
          <w:lang w:eastAsia="pl-PL"/>
        </w:rPr>
        <w:t>2) w roku 2028 – kwotę do 146 923,00 zł;</w:t>
      </w:r>
    </w:p>
    <w:p w14:paraId="604D097E" w14:textId="77777777" w:rsidR="009F35CC" w:rsidRPr="009F35CC" w:rsidRDefault="009F35CC" w:rsidP="009F35CC">
      <w:pPr>
        <w:pStyle w:val="Bezodstpw"/>
        <w:rPr>
          <w:lang w:eastAsia="pl-PL"/>
        </w:rPr>
      </w:pPr>
      <w:r w:rsidRPr="009F35CC">
        <w:rPr>
          <w:lang w:eastAsia="pl-PL"/>
        </w:rPr>
        <w:t>3) w roku 2029 – kwotę do 150 179,00 zł;</w:t>
      </w:r>
    </w:p>
    <w:p w14:paraId="0672166C" w14:textId="77777777" w:rsidR="009F35CC" w:rsidRPr="009F35CC" w:rsidRDefault="009F35CC" w:rsidP="009F35CC">
      <w:pPr>
        <w:pStyle w:val="Bezodstpw"/>
        <w:rPr>
          <w:lang w:eastAsia="pl-PL"/>
        </w:rPr>
      </w:pPr>
      <w:r w:rsidRPr="009F35CC">
        <w:rPr>
          <w:lang w:eastAsia="pl-PL"/>
        </w:rPr>
        <w:t>4) w roku 2030 – kwotę do 146 362,00 zł.</w:t>
      </w:r>
    </w:p>
    <w:p w14:paraId="6FF84F53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2</w:t>
      </w:r>
    </w:p>
    <w:p w14:paraId="240811AC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Środki finansowe na realizację zadania, o którym mowa w § 1, zostaną zabezpieczone w budżetach Miasta i Gminy Międzybórz oraz w Wieloletniej Prognozie Finansowej Miasta i Gminy Międzybórz na lata 2027–2030.</w:t>
      </w:r>
    </w:p>
    <w:p w14:paraId="2150C000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3</w:t>
      </w:r>
    </w:p>
    <w:p w14:paraId="31E27E6B" w14:textId="1832A6F8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Szczegółowe warunki udzielenia i rozliczenia pomocy finansowej oraz przeznaczenia środków zostaną określone w umowie (porozumieniu) zawartej pomiędzy Miastem i Gminą Międzybórz</w:t>
      </w:r>
      <w:r>
        <w:rPr>
          <w:rFonts w:ascii="Times New Roman" w:eastAsia="Times New Roman" w:hAnsi="Times New Roman" w:cs="Times New Roman"/>
          <w:color w:val="auto"/>
          <w:szCs w:val="24"/>
          <w:lang w:eastAsia="pl-PL"/>
        </w:rPr>
        <w:t>,</w:t>
      </w: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 a Województwem Wielkopolskim.</w:t>
      </w:r>
    </w:p>
    <w:p w14:paraId="1E10ADB4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4</w:t>
      </w:r>
    </w:p>
    <w:p w14:paraId="00E48A97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Do zawarcia umowy (porozumienia), o której mowa w § 3, upoważnia się Burmistrza Miasta i Gminy Międzybórz.</w:t>
      </w:r>
    </w:p>
    <w:p w14:paraId="1A0C9D4B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5</w:t>
      </w:r>
    </w:p>
    <w:p w14:paraId="70FB112C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Wykonanie uchwały powierza się Burmistrzowi Miasta i Gminy Międzybórz.</w:t>
      </w:r>
    </w:p>
    <w:p w14:paraId="175EABFC" w14:textId="77777777" w:rsidR="009F35CC" w:rsidRPr="009F35CC" w:rsidRDefault="009F35CC" w:rsidP="009F35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6</w:t>
      </w:r>
    </w:p>
    <w:p w14:paraId="25F893A0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Uchwała wchodzi w życie z dniem podjęcia.</w:t>
      </w:r>
    </w:p>
    <w:p w14:paraId="70718915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lastRenderedPageBreak/>
        <w:t>Uzasadnienie</w:t>
      </w:r>
    </w:p>
    <w:p w14:paraId="4EA4D33A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Zgodnie z art. 10 ust. 2 ustawy z dnia 8 marca 1990 r. o samorządzie gminnym, jednostki samorządu terytorialnego mogą sobie wzajemnie bądź innym jednostkom samorządu terytorialnego udzielać pomocy, w tym pomocy finansowej. Stosownie do art. 220 ust. 1 i 2 ustawy z dnia 27 sierpnia 2009 r. o finansach publicznych, z budżetu jednostki samorządu terytorialnego może być udzielona pomoc finansowa innym jednostkom samorządu terytorialnego w formie dotacji celowej, na podstawie odrębnej uchwały organu stanowiącego.</w:t>
      </w:r>
    </w:p>
    <w:p w14:paraId="03F6E38F" w14:textId="426A5259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Organizowanie i finansowanie regionalnych kolejowych przewozów pasażerskich jest zadaniem własnym samorządu województwa. Biorąc jednak pod uwagę znaczenie transportu kolejowego dla mieszkańców Miasta i Gminy Międzybórz – w szczególności zapewnienie dogodnego dojazdu do szkół, zakładów pracy oraz ośrodków regionalnych</w:t>
      </w:r>
      <w:r>
        <w:rPr>
          <w:rFonts w:ascii="Times New Roman" w:eastAsia="Times New Roman" w:hAnsi="Times New Roman" w:cs="Times New Roman"/>
          <w:color w:val="auto"/>
          <w:szCs w:val="24"/>
          <w:lang w:eastAsia="pl-PL"/>
        </w:rPr>
        <w:t>.</w:t>
      </w:r>
    </w:p>
    <w:p w14:paraId="44AAB85C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Pismem z dnia 8 października 2026 r. (znak: DT-I.8061.1.2026) Marszałek Województwa Wielkopolskiego wystąpił z wnioskiem o partycypację w kosztach organizacji połączeń kolejowych na odcinku Odolanów – Międzybórz w ramach Kalisko-Ostrowskiej Kolei Aglomeracyjnej na lata 2027–2030.</w:t>
      </w:r>
    </w:p>
    <w:p w14:paraId="22DB9665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Udzielenie dotacji celowej w łącznej wysokości 586 683,00 zł w latach 2027–2030 (2027 r.: 143 219,00 zł, 2028 r.: 146 923,00 zł, 2029 r.: 150 179,00 zł, 2030 r.: 146 362,00 zł) pozwoli na utrzymanie oferty przewozowej i ciągłości połączeń pasażerskich dla mieszkańców Międzyborza.</w:t>
      </w:r>
    </w:p>
    <w:p w14:paraId="7EA46A10" w14:textId="77777777" w:rsidR="009F35CC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Podjęcie niniejszej uchwały stanowi podstawę do ujęcia stosownego przedsięwzięcia w Wieloletniej Prognozie Finansowej oraz zawarcia wieloletniej umowy (porozumienia) z Województwem Wielkopolskim.</w:t>
      </w:r>
    </w:p>
    <w:p w14:paraId="02A2F64F" w14:textId="27AFE7AF" w:rsidR="003958C0" w:rsidRPr="009F35CC" w:rsidRDefault="009F35CC" w:rsidP="009F35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9F35CC">
        <w:rPr>
          <w:rFonts w:ascii="Times New Roman" w:eastAsia="Times New Roman" w:hAnsi="Times New Roman" w:cs="Times New Roman"/>
          <w:color w:val="auto"/>
          <w:szCs w:val="24"/>
          <w:lang w:eastAsia="pl-PL"/>
        </w:rPr>
        <w:t>W tym stanie rzeczy podjęcie uchwały jest uzasadnione.</w:t>
      </w:r>
    </w:p>
    <w:sectPr w:rsidR="003958C0" w:rsidRPr="009F35CC" w:rsidSect="009F35CC">
      <w:footerReference w:type="default" r:id="rId7"/>
      <w:pgSz w:w="11906" w:h="16838"/>
      <w:pgMar w:top="709" w:right="1417" w:bottom="1417" w:left="19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43D84" w14:textId="77777777" w:rsidR="00821738" w:rsidRDefault="00821738">
      <w:pPr>
        <w:spacing w:after="0" w:line="240" w:lineRule="auto"/>
      </w:pPr>
      <w:r>
        <w:separator/>
      </w:r>
    </w:p>
  </w:endnote>
  <w:endnote w:type="continuationSeparator" w:id="0">
    <w:p w14:paraId="6BC25F0B" w14:textId="77777777" w:rsidR="00821738" w:rsidRDefault="00821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CB56" w14:textId="77777777" w:rsidR="003860A5" w:rsidRDefault="003952DB">
    <w:pPr>
      <w:pStyle w:val="Stopka"/>
      <w:jc w:val="right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CF0849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3D829" w14:textId="77777777" w:rsidR="00821738" w:rsidRDefault="00821738">
      <w:pPr>
        <w:spacing w:after="0" w:line="240" w:lineRule="auto"/>
      </w:pPr>
      <w:r>
        <w:separator/>
      </w:r>
    </w:p>
  </w:footnote>
  <w:footnote w:type="continuationSeparator" w:id="0">
    <w:p w14:paraId="5C98E768" w14:textId="77777777" w:rsidR="00821738" w:rsidRDefault="00821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0"/>
    <w:multiLevelType w:val="multilevel"/>
    <w:tmpl w:val="6E76FF7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0" w15:restartNumberingAfterBreak="0">
    <w:nsid w:val="0000A991"/>
    <w:multiLevelType w:val="multilevel"/>
    <w:tmpl w:val="975AEF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0A99411"/>
    <w:multiLevelType w:val="multilevel"/>
    <w:tmpl w:val="E4149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00A99412"/>
    <w:multiLevelType w:val="multilevel"/>
    <w:tmpl w:val="D00A912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00A99421"/>
    <w:multiLevelType w:val="multilevel"/>
    <w:tmpl w:val="833027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4" w15:restartNumberingAfterBreak="0">
    <w:nsid w:val="06522BDC"/>
    <w:multiLevelType w:val="multilevel"/>
    <w:tmpl w:val="8C26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7BB358B"/>
    <w:multiLevelType w:val="multilevel"/>
    <w:tmpl w:val="9DC666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337328"/>
    <w:multiLevelType w:val="multilevel"/>
    <w:tmpl w:val="2E225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9B6E77"/>
    <w:multiLevelType w:val="multilevel"/>
    <w:tmpl w:val="FB76A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586D1A"/>
    <w:multiLevelType w:val="hybridMultilevel"/>
    <w:tmpl w:val="78C23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C35BE"/>
    <w:multiLevelType w:val="multilevel"/>
    <w:tmpl w:val="E8581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BE1863"/>
    <w:multiLevelType w:val="multilevel"/>
    <w:tmpl w:val="80F82C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FF1740"/>
    <w:multiLevelType w:val="multilevel"/>
    <w:tmpl w:val="4AD43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5"/>
  </w:num>
  <w:num w:numId="22">
    <w:abstractNumId w:val="19"/>
  </w:num>
  <w:num w:numId="23">
    <w:abstractNumId w:val="16"/>
  </w:num>
  <w:num w:numId="24">
    <w:abstractNumId w:val="17"/>
  </w:num>
  <w:num w:numId="25">
    <w:abstractNumId w:val="21"/>
  </w:num>
  <w:num w:numId="26">
    <w:abstractNumId w:val="14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60A5"/>
    <w:rsid w:val="003952DB"/>
    <w:rsid w:val="003958C0"/>
    <w:rsid w:val="004D75AB"/>
    <w:rsid w:val="00821738"/>
    <w:rsid w:val="00985987"/>
    <w:rsid w:val="009F35CC"/>
    <w:rsid w:val="00AA1D8D"/>
    <w:rsid w:val="00B47730"/>
    <w:rsid w:val="00CB0664"/>
    <w:rsid w:val="00CF08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BD345"/>
  <w15:docId w15:val="{E5DD21DA-C9F2-4E08-A8E8-05C90F0C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252"/>
        <w:tab w:val="right" w:pos="8505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252"/>
        <w:tab w:val="right" w:pos="8505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table" w:customStyle="1" w:styleId="Table">
    <w:name w:val="Table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VerbatimChar">
    <w:name w:val="Verbatim Char"/>
    <w:basedOn w:val="TekstpodstawowyZnak"/>
    <w:link w:val="SourceCode"/>
    <w:rPr>
      <w:rFonts w:ascii="Consolas" w:hAnsi="Consolas" w:cs="Consolas"/>
      <w:noProof/>
      <w:sz w:val="22"/>
      <w:szCs w:val="22"/>
    </w:rPr>
  </w:style>
  <w:style w:type="paragraph" w:customStyle="1" w:styleId="SourceCode">
    <w:name w:val="Source Code"/>
    <w:basedOn w:val="Normalny"/>
    <w:link w:val="VerbatimChar"/>
    <w:pPr>
      <w:wordWrap w:val="0"/>
      <w:spacing w:before="120" w:after="0" w:line="240" w:lineRule="auto"/>
    </w:pPr>
    <w:rPr>
      <w:rFonts w:ascii="Consolas" w:hAnsi="Consolas" w:cs="Consolas"/>
      <w:sz w:val="22"/>
    </w:rPr>
  </w:style>
  <w:style w:type="paragraph" w:customStyle="1" w:styleId="FirstParagraph">
    <w:name w:val="First Paragraph"/>
    <w:basedOn w:val="Normalny"/>
    <w:pPr>
      <w:jc w:val="both"/>
    </w:pPr>
  </w:style>
  <w:style w:type="paragraph" w:customStyle="1" w:styleId="Compact">
    <w:name w:val="Compact"/>
    <w:basedOn w:val="Normalny"/>
    <w:pPr>
      <w:jc w:val="both"/>
    </w:pPr>
  </w:style>
  <w:style w:type="paragraph" w:customStyle="1" w:styleId="Tekstblokowy1">
    <w:name w:val="Tekst blokowy1"/>
    <w:basedOn w:val="Normalny"/>
    <w:pPr>
      <w:jc w:val="both"/>
    </w:pPr>
  </w:style>
  <w:style w:type="character" w:customStyle="1" w:styleId="KeywordTok">
    <w:name w:val="Keyword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DataTypeTok">
    <w:name w:val="DataTypeTok"/>
    <w:basedOn w:val="VerbatimChar"/>
    <w:rPr>
      <w:rFonts w:ascii="Consolas" w:hAnsi="Consolas" w:cs="Consolas"/>
      <w:noProof/>
      <w:color w:val="902000"/>
      <w:sz w:val="22"/>
      <w:szCs w:val="22"/>
    </w:rPr>
  </w:style>
  <w:style w:type="character" w:customStyle="1" w:styleId="DecValTok">
    <w:name w:val="DecVal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BaseNTok">
    <w:name w:val="BaseN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FloatTok">
    <w:name w:val="Float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ConstantTok">
    <w:name w:val="ConstantTok"/>
    <w:basedOn w:val="VerbatimChar"/>
    <w:rPr>
      <w:rFonts w:ascii="Consolas" w:hAnsi="Consolas" w:cs="Consolas"/>
      <w:noProof/>
      <w:color w:val="880000"/>
      <w:sz w:val="22"/>
      <w:szCs w:val="22"/>
    </w:rPr>
  </w:style>
  <w:style w:type="character" w:customStyle="1" w:styleId="CharTok">
    <w:name w:val="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CharTok">
    <w:name w:val="Special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tringTok">
    <w:name w:val="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VerbatimStringTok">
    <w:name w:val="Verbatim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StringTok">
    <w:name w:val="SpecialStringTok"/>
    <w:basedOn w:val="VerbatimChar"/>
    <w:rPr>
      <w:rFonts w:ascii="Consolas" w:hAnsi="Consolas" w:cs="Consolas"/>
      <w:noProof/>
      <w:color w:val="BB6688"/>
      <w:sz w:val="22"/>
      <w:szCs w:val="22"/>
    </w:rPr>
  </w:style>
  <w:style w:type="character" w:customStyle="1" w:styleId="ImportTok">
    <w:name w:val="ImportTok"/>
    <w:basedOn w:val="VerbatimChar"/>
    <w:rPr>
      <w:rFonts w:ascii="Consolas" w:hAnsi="Consolas" w:cs="Consolas"/>
      <w:b/>
      <w:noProof/>
      <w:color w:val="008000"/>
      <w:sz w:val="22"/>
      <w:szCs w:val="22"/>
    </w:rPr>
  </w:style>
  <w:style w:type="character" w:customStyle="1" w:styleId="CommentTok">
    <w:name w:val="CommentTok"/>
    <w:basedOn w:val="VerbatimChar"/>
    <w:rPr>
      <w:rFonts w:ascii="Consolas" w:hAnsi="Consolas" w:cs="Consolas"/>
      <w:i/>
      <w:noProof/>
      <w:color w:val="60A0B0"/>
      <w:sz w:val="22"/>
      <w:szCs w:val="22"/>
    </w:rPr>
  </w:style>
  <w:style w:type="character" w:customStyle="1" w:styleId="DocumentationTok">
    <w:name w:val="DocumentationTok"/>
    <w:basedOn w:val="VerbatimChar"/>
    <w:rPr>
      <w:rFonts w:ascii="Consolas" w:hAnsi="Consolas" w:cs="Consolas"/>
      <w:i/>
      <w:noProof/>
      <w:color w:val="BA2121"/>
      <w:sz w:val="22"/>
      <w:szCs w:val="22"/>
    </w:rPr>
  </w:style>
  <w:style w:type="character" w:customStyle="1" w:styleId="AnnotationTok">
    <w:name w:val="Annot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CommentVarTok">
    <w:name w:val="CommentVar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OtherTok">
    <w:name w:val="OtherTok"/>
    <w:basedOn w:val="VerbatimChar"/>
    <w:rPr>
      <w:rFonts w:ascii="Consolas" w:hAnsi="Consolas" w:cs="Consolas"/>
      <w:noProof/>
      <w:color w:val="007020"/>
      <w:sz w:val="22"/>
      <w:szCs w:val="22"/>
    </w:rPr>
  </w:style>
  <w:style w:type="character" w:customStyle="1" w:styleId="FunctionTok">
    <w:name w:val="FunctionTok"/>
    <w:basedOn w:val="VerbatimChar"/>
    <w:rPr>
      <w:rFonts w:ascii="Consolas" w:hAnsi="Consolas" w:cs="Consolas"/>
      <w:noProof/>
      <w:color w:val="06287E"/>
      <w:sz w:val="22"/>
      <w:szCs w:val="22"/>
    </w:rPr>
  </w:style>
  <w:style w:type="character" w:customStyle="1" w:styleId="VariableTok">
    <w:name w:val="VariableTok"/>
    <w:basedOn w:val="VerbatimChar"/>
    <w:rPr>
      <w:rFonts w:ascii="Consolas" w:hAnsi="Consolas" w:cs="Consolas"/>
      <w:noProof/>
      <w:color w:val="19177C"/>
      <w:sz w:val="22"/>
      <w:szCs w:val="22"/>
    </w:rPr>
  </w:style>
  <w:style w:type="character" w:customStyle="1" w:styleId="ControlFlowTok">
    <w:name w:val="ControlFlow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OperatorTok">
    <w:name w:val="OperatorTok"/>
    <w:basedOn w:val="VerbatimChar"/>
    <w:rPr>
      <w:rFonts w:ascii="Consolas" w:hAnsi="Consolas" w:cs="Consolas"/>
      <w:noProof/>
      <w:color w:val="666666"/>
      <w:sz w:val="22"/>
      <w:szCs w:val="22"/>
    </w:rPr>
  </w:style>
  <w:style w:type="character" w:customStyle="1" w:styleId="BuiltInTok">
    <w:name w:val="BuiltInTok"/>
    <w:basedOn w:val="VerbatimChar"/>
    <w:rPr>
      <w:rFonts w:ascii="Consolas" w:hAnsi="Consolas" w:cs="Consolas"/>
      <w:noProof/>
      <w:color w:val="008000"/>
      <w:sz w:val="22"/>
      <w:szCs w:val="22"/>
    </w:rPr>
  </w:style>
  <w:style w:type="character" w:customStyle="1" w:styleId="ExtensionTok">
    <w:name w:val="Extension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PreprocessorTok">
    <w:name w:val="PreprocessorTok"/>
    <w:basedOn w:val="VerbatimChar"/>
    <w:rPr>
      <w:rFonts w:ascii="Consolas" w:hAnsi="Consolas" w:cs="Consolas"/>
      <w:noProof/>
      <w:color w:val="BC7A00"/>
      <w:sz w:val="22"/>
      <w:szCs w:val="22"/>
    </w:rPr>
  </w:style>
  <w:style w:type="character" w:customStyle="1" w:styleId="AttributeTok">
    <w:name w:val="AttributeTok"/>
    <w:basedOn w:val="VerbatimChar"/>
    <w:rPr>
      <w:rFonts w:ascii="Consolas" w:hAnsi="Consolas" w:cs="Consolas"/>
      <w:noProof/>
      <w:color w:val="7D9029"/>
      <w:sz w:val="22"/>
      <w:szCs w:val="22"/>
    </w:rPr>
  </w:style>
  <w:style w:type="character" w:customStyle="1" w:styleId="RegionMarkerTok">
    <w:name w:val="RegionMarker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InformationTok">
    <w:name w:val="Inform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WarningTok">
    <w:name w:val="Warning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AlertTok">
    <w:name w:val="Alert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ErrorTok">
    <w:name w:val="Error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NormalTok">
    <w:name w:val="NormalTok"/>
    <w:basedOn w:val="VerbatimChar"/>
    <w:rPr>
      <w:rFonts w:ascii="Consolas" w:hAnsi="Consolas" w:cs="Consolas"/>
      <w:noProof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4D7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503</Words>
  <Characters>3023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Pawel Adamczyk</dc:creator>
  <cp:keywords/>
  <dc:description>Document produced on the LOGiT FLOW platform with AI assistance.</dc:description>
  <cp:lastModifiedBy>Pawel Adamczyk</cp:lastModifiedBy>
  <cp:revision>2</cp:revision>
  <dcterms:created xsi:type="dcterms:W3CDTF">2026-10-21T12:59:00Z</dcterms:created>
  <dcterms:modified xsi:type="dcterms:W3CDTF">2026-10-21T12:59:00Z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iTFLOW.Platform">
    <vt:lpwstr>LOGiT FLOW</vt:lpwstr>
  </property>
  <property fmtid="{D5CDD505-2E9C-101B-9397-08002B2CF9AE}" pid="3" name="LOGiTFLOW.AIGenerated">
    <vt:bool>true</vt:bool>
  </property>
  <property fmtid="{D5CDD505-2E9C-101B-9397-08002B2CF9AE}" pid="4" name="LOGiTFLOW.Provenance">
    <vt:lpwstr>ai-generated</vt:lpwstr>
  </property>
  <property fmtid="{D5CDD505-2E9C-101B-9397-08002B2CF9AE}" pid="5" name="LOGiTFLOW.DigitalSourceType">
    <vt:lpwstr>http://cv.iptc.org/newscodes/digitalsourcetype/trainedAlgorithmicMedia</vt:lpwstr>
  </property>
  <property fmtid="{D5CDD505-2E9C-101B-9397-08002B2CF9AE}" pid="6" name="LOGiTFLOW.GeneratedAt">
    <vt:filetime>2026-10-21T12:04:58Z</vt:filetime>
  </property>
</Properties>
</file>